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677c9de736c5dae8e368283d7eb682727f520fc"/>
    <w:p>
      <w:pPr>
        <w:pStyle w:val="Heading1"/>
      </w:pPr>
      <w:r>
        <w:t xml:space="preserve">Information Exchange 2026 — Partner Talking Points</w:t>
      </w:r>
    </w:p>
    <w:p>
      <w:pPr>
        <w:pStyle w:val="FirstParagraph"/>
      </w:pPr>
      <w:r>
        <w:rPr>
          <w:iCs/>
          <w:i/>
        </w:rPr>
        <w:t xml:space="preserve">Internal-facing reference for sales, marketing, and presenters. Use to explain the partner ecosystem, articulate joint value props, and answer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why is [partner] here?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Web: bccsoftware.com/ie26</w:t>
      </w:r>
    </w:p>
    <w:p>
      <w:r>
        <w:pict>
          <v:rect style="width:0;height:1.5pt" o:hralign="center" o:hrstd="t" o:hr="t"/>
        </w:pict>
      </w:r>
    </w:p>
    <w:bookmarkStart w:id="20" w:name="X8006afaaf949a6388f68f5d350ac2d0c36463e7"/>
    <w:p>
      <w:pPr>
        <w:pStyle w:val="Heading2"/>
      </w:pPr>
      <w:r>
        <w:t xml:space="preserve">The big picture: why partners are central to IE26</w:t>
      </w:r>
    </w:p>
    <w:p>
      <w:pPr>
        <w:pStyle w:val="FirstParagraph"/>
      </w:pPr>
      <w:r>
        <w:t xml:space="preserve">Information Exchange 2026 is organized around one argument:</w:t>
      </w:r>
      <w:r>
        <w:t xml:space="preserve"> </w:t>
      </w:r>
      <w:r>
        <w:rPr>
          <w:bCs/>
          <w:b/>
        </w:rPr>
        <w:t xml:space="preserve">the defining challenge of the postal industry is no longer mail volume — it’s integration.</w:t>
      </w:r>
      <w:r>
        <w:t xml:space="preserve"> </w:t>
      </w:r>
      <w:r>
        <w:t xml:space="preserve">A campaign brief that once crossed three vendors, four platforms, and a small army of project managers is increasingly one connected workflow spanning address quality, presort, post-presort tracking, drop-ship logistics, OmniChannel orchestration, and AI-assisted decisioning.</w:t>
      </w:r>
    </w:p>
    <w:p>
      <w:pPr>
        <w:pStyle w:val="BodyText"/>
      </w:pPr>
      <w:r>
        <w:t xml:space="preserve">No single vendor owns that whole chain — and that’s the point. The partner ecosystem</w:t>
      </w:r>
      <w:r>
        <w:t xml:space="preserve"> </w:t>
      </w:r>
      <w:r>
        <w:rPr>
          <w:iCs/>
          <w:i/>
        </w:rPr>
        <w:t xml:space="preserve">is</w:t>
      </w:r>
      <w:r>
        <w:t xml:space="preserve"> </w:t>
      </w:r>
      <w:r>
        <w:t xml:space="preserve">the product story. Each partner closes a specific gap in the integrated workflow, and the event puts them in the same room so attendees can see how the pieces connect rather than hearing five disconnected pitches.</w:t>
      </w:r>
    </w:p>
    <w:p>
      <w:pPr>
        <w:pStyle w:val="BodyText"/>
      </w:pPr>
      <w:r>
        <w:rPr>
          <w:bCs/>
          <w:b/>
        </w:rPr>
        <w:t xml:space="preserve">The one-line frame: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We didn’t assemble logos. We assembled a workflow.</w:t>
      </w:r>
      <w:r>
        <w:rPr>
          <w:iCs/>
          <w:i/>
        </w:rPr>
        <w:t xml:space="preserve">”</w:t>
      </w:r>
    </w:p>
    <w:p>
      <w:r>
        <w:pict>
          <v:rect style="width:0;height:1.5pt" o:hralign="center" o:hrstd="t" o:hr="t"/>
        </w:pict>
      </w:r>
    </w:p>
    <w:bookmarkEnd w:id="20"/>
    <w:bookmarkStart w:id="21" w:name="bluecrest"/>
    <w:p>
      <w:pPr>
        <w:pStyle w:val="Heading2"/>
      </w:pPr>
      <w:r>
        <w:t xml:space="preserve">BlueCrest</w:t>
      </w:r>
    </w:p>
    <w:p>
      <w:pPr>
        <w:pStyle w:val="FirstParagraph"/>
      </w:pPr>
      <w:r>
        <w:rPr>
          <w:bCs/>
          <w:b/>
        </w:rPr>
        <w:t xml:space="preserve">Who they are.</w:t>
      </w:r>
      <w:r>
        <w:t xml:space="preserve"> </w:t>
      </w:r>
      <w:r>
        <w:t xml:space="preserve">BlueCrest is BCC Software’s parent company. BCC Software is a BlueCrest company, which makes this the deepest integration on the roster — not a partnership of convenience, but shared ownership and shared roadmap.</w:t>
      </w:r>
    </w:p>
    <w:p>
      <w:pPr>
        <w:pStyle w:val="BodyText"/>
      </w:pPr>
      <w:r>
        <w:rPr>
          <w:bCs/>
          <w:b/>
        </w:rPr>
        <w:t xml:space="preserve">Why we’re aligned.</w:t>
      </w:r>
      <w:r>
        <w:t xml:space="preserve"> </w:t>
      </w:r>
      <w:r>
        <w:t xml:space="preserve">BlueCrest brings the production and sortation hardware/software side of the mailstream; BCC Software brings the data quality, presort intelligence, tracking, and OmniChannel software. Together they connect the physical production floor to the data and postal-intelligence layer that makes mail qualify, move, and measure.</w:t>
      </w:r>
    </w:p>
    <w:p>
      <w:pPr>
        <w:pStyle w:val="BodyText"/>
      </w:pPr>
      <w:r>
        <w:rPr>
          <w:bCs/>
          <w:b/>
        </w:rPr>
        <w:t xml:space="preserve">What attendees see.</w:t>
      </w:r>
      <w:r>
        <w:t xml:space="preserve"> </w:t>
      </w:r>
      <w:r>
        <w:t xml:space="preserve">BlueCrest participates in the interactive strategic partner Q&amp;A panel (virtual) and the</w:t>
      </w:r>
      <w:r>
        <w:t xml:space="preserve"> </w:t>
      </w:r>
      <w:r>
        <w:t xml:space="preserve">“</w:t>
      </w:r>
      <w:r>
        <w:t xml:space="preserve">Partners &amp; Platforms: Ecosystem Engineering for Growth</w:t>
      </w:r>
      <w:r>
        <w:t xml:space="preserve">”</w:t>
      </w:r>
      <w:r>
        <w:t xml:space="preserve"> </w:t>
      </w:r>
      <w:r>
        <w:t xml:space="preserve">mapping session (live), where attendees map their ecosystem across BlueCrest, Quadient, Solimar, Direct Logistics, and more.</w:t>
      </w:r>
    </w:p>
    <w:p>
      <w:pPr>
        <w:pStyle w:val="BodyText"/>
      </w:pPr>
      <w:r>
        <w:rPr>
          <w:bCs/>
          <w:b/>
        </w:rPr>
        <w:t xml:space="preserve">Joint value prop.</w:t>
      </w:r>
      <w:r>
        <w:t xml:space="preserve"> </w:t>
      </w:r>
      <w:r>
        <w:t xml:space="preserve">A production-to-data pipeline under one corporate family — fewer integration seams between how mail is made and how it’s optimized, tracked, and reported.</w:t>
      </w:r>
    </w:p>
    <w:p>
      <w:r>
        <w:pict>
          <v:rect style="width:0;height:1.5pt" o:hralign="center" o:hrstd="t" o:hr="t"/>
        </w:pict>
      </w:r>
    </w:p>
    <w:bookmarkEnd w:id="21"/>
    <w:bookmarkStart w:id="22" w:name="solimar-systems"/>
    <w:p>
      <w:pPr>
        <w:pStyle w:val="Heading2"/>
      </w:pPr>
      <w:r>
        <w:t xml:space="preserve">Solimar Systems</w:t>
      </w:r>
    </w:p>
    <w:p>
      <w:pPr>
        <w:pStyle w:val="FirstParagraph"/>
      </w:pPr>
      <w:r>
        <w:rPr>
          <w:bCs/>
          <w:b/>
        </w:rPr>
        <w:t xml:space="preserve">Who they are.</w:t>
      </w:r>
      <w:r>
        <w:t xml:space="preserve"> </w:t>
      </w:r>
      <w:r>
        <w:t xml:space="preserve">A post-composition document and workflow automation specialist. Solimar’s Chemistry platform — ReadyPDF, Rubika, SOLfusion, and SOLitrack — brings PDF optimization, intelligent automation, and tracking to the production workflow.</w:t>
      </w:r>
    </w:p>
    <w:p>
      <w:pPr>
        <w:pStyle w:val="BodyText"/>
      </w:pPr>
      <w:r>
        <w:rPr>
          <w:bCs/>
          <w:b/>
        </w:rPr>
        <w:t xml:space="preserve">Why we partnered.</w:t>
      </w:r>
      <w:r>
        <w:t xml:space="preserve"> </w:t>
      </w:r>
      <w:r>
        <w:t xml:space="preserve">Solimar lives in the step between</w:t>
      </w:r>
      <w:r>
        <w:t xml:space="preserve"> </w:t>
      </w:r>
      <w:r>
        <w:t xml:space="preserve">“</w:t>
      </w:r>
      <w:r>
        <w:t xml:space="preserve">the file is composed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the job runs clean.</w:t>
      </w:r>
      <w:r>
        <w:t xml:space="preserve">”</w:t>
      </w:r>
      <w:r>
        <w:t xml:space="preserve"> </w:t>
      </w:r>
      <w:r>
        <w:t xml:space="preserve">That’s exactly where labor, errors, and turnaround time hide. Pair Solimar’s post-composition control with BCC’s data quality and postal intelligence and you get a workflow that’s both clean</w:t>
      </w:r>
      <w:r>
        <w:t xml:space="preserve"> </w:t>
      </w:r>
      <w:r>
        <w:rPr>
          <w:iCs/>
          <w:i/>
        </w:rPr>
        <w:t xml:space="preserve">and</w:t>
      </w:r>
      <w:r>
        <w:t xml:space="preserve"> </w:t>
      </w:r>
      <w:r>
        <w:t xml:space="preserve">deliverable — without buying new presses.</w:t>
      </w:r>
    </w:p>
    <w:p>
      <w:pPr>
        <w:pStyle w:val="BodyText"/>
      </w:pPr>
      <w:r>
        <w:rPr>
          <w:bCs/>
          <w:b/>
        </w:rPr>
        <w:t xml:space="preserve">What attendees see.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</w:rPr>
        <w:t xml:space="preserve">Virtual:</w:t>
      </w:r>
      <w:r>
        <w:t xml:space="preserve"> </w:t>
      </w:r>
      <w:r>
        <w:t xml:space="preserve">a walkthrough inside the Chemistry platform — ReadyPDF, Rubika, SOLfusion, SOLitrack — showing intelligent automation in action.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</w:rPr>
        <w:t xml:space="preserve">Live:</w:t>
      </w:r>
      <w:r>
        <w:t xml:space="preserve"> </w:t>
      </w:r>
      <w:r>
        <w:t xml:space="preserve">“</w:t>
      </w:r>
      <w:r>
        <w:t xml:space="preserve">Solimar Systems: From Hours to Minutes</w:t>
      </w:r>
      <w:r>
        <w:t xml:space="preserve">”</w:t>
      </w:r>
      <w:r>
        <w:t xml:space="preserve"> </w:t>
      </w:r>
      <w:r>
        <w:t xml:space="preserve">(post-composition control, PDF optimization, tracking, with 100% ROI case studies and 24-hour-to-1-hour turnaround wins) and a joint</w:t>
      </w:r>
      <w:r>
        <w:t xml:space="preserve"> </w:t>
      </w:r>
      <w:r>
        <w:t xml:space="preserve">“</w:t>
      </w:r>
      <w:r>
        <w:t xml:space="preserve">Solimar + BCC in Production</w:t>
      </w:r>
      <w:r>
        <w:t xml:space="preserve">”</w:t>
      </w:r>
      <w:r>
        <w:t xml:space="preserve"> </w:t>
      </w:r>
      <w:r>
        <w:t xml:space="preserve">customer success panel.</w:t>
      </w:r>
    </w:p>
    <w:p>
      <w:pPr>
        <w:pStyle w:val="BodyText"/>
      </w:pPr>
      <w:r>
        <w:rPr>
          <w:bCs/>
          <w:b/>
        </w:rPr>
        <w:t xml:space="preserve">Joint value prop.</w:t>
      </w:r>
      <w:r>
        <w:t xml:space="preserve"> </w:t>
      </w:r>
      <w:r>
        <w:t xml:space="preserve">Your fastest path to ROI isn’t a new press — it’s eliminating manual touches and rework in the workflow you already run. Solimar handles post-composition; BCC handles data and postal optimization; together they compress turnaround and cut labor.</w:t>
      </w:r>
    </w:p>
    <w:p>
      <w:pPr>
        <w:pStyle w:val="BodyText"/>
      </w:pPr>
      <w:r>
        <w:rPr>
          <w:bCs/>
          <w:b/>
        </w:rPr>
        <w:t xml:space="preserve">Proof points to cite.</w:t>
      </w:r>
      <w:r>
        <w:t xml:space="preserve"> </w:t>
      </w:r>
      <w:r>
        <w:t xml:space="preserve">100% ROI case studies; 24-hour-to-1-hour turnaround improvements.</w:t>
      </w:r>
    </w:p>
    <w:p>
      <w:r>
        <w:pict>
          <v:rect style="width:0;height:1.5pt" o:hralign="center" o:hrstd="t" o:hr="t"/>
        </w:pict>
      </w:r>
    </w:p>
    <w:bookmarkEnd w:id="22"/>
    <w:bookmarkStart w:id="23" w:name="direct-logistics"/>
    <w:p>
      <w:pPr>
        <w:pStyle w:val="Heading2"/>
      </w:pPr>
      <w:r>
        <w:t xml:space="preserve">Direct Logistics</w:t>
      </w:r>
    </w:p>
    <w:p>
      <w:pPr>
        <w:pStyle w:val="FirstParagraph"/>
      </w:pPr>
      <w:r>
        <w:rPr>
          <w:bCs/>
          <w:b/>
        </w:rPr>
        <w:t xml:space="preserve">Who they are.</w:t>
      </w:r>
      <w:r>
        <w:t xml:space="preserve"> </w:t>
      </w:r>
      <w:r>
        <w:t xml:space="preserve">A mail-as-freight and drop-ship logistics specialist with 25+ years of USPS destination-entry experience, delivering multimodal shipping (LTL, FTL, parcel, mail-as-freight) with a 98.6% historical on-time rate and direct integration into BCC software.</w:t>
      </w:r>
    </w:p>
    <w:p>
      <w:pPr>
        <w:pStyle w:val="BodyText"/>
      </w:pPr>
      <w:r>
        <w:rPr>
          <w:bCs/>
          <w:b/>
        </w:rPr>
        <w:t xml:space="preserve">Why we partnered.</w:t>
      </w:r>
      <w:r>
        <w:t xml:space="preserve"> </w:t>
      </w:r>
      <w:r>
        <w:t xml:space="preserve">Logistics is where workshare savings are won or lost. Direct Logistics’ Postal-Aware LTL turns mail-as-freight into a measured, predictable, dock-to-dock process — and because it integrates directly into Mail Manager and DAT-MAIL, the drop-ship decision lives inside the same workflow as presort, not in a separate silo.</w:t>
      </w:r>
    </w:p>
    <w:p>
      <w:pPr>
        <w:pStyle w:val="BodyText"/>
      </w:pPr>
      <w:r>
        <w:rPr>
          <w:bCs/>
          <w:b/>
        </w:rPr>
        <w:t xml:space="preserve">What attendees see.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</w:rPr>
        <w:t xml:space="preserve">Virtual:</w:t>
      </w:r>
      <w:r>
        <w:t xml:space="preserve"> </w:t>
      </w:r>
      <w:r>
        <w:t xml:space="preserve">Postal-Aware LTL and mail-as-freight — 25 years of experience engineered into one simple portal.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</w:rPr>
        <w:t xml:space="preserve">Live:</w:t>
      </w:r>
      <w:r>
        <w:t xml:space="preserve"> </w:t>
      </w:r>
      <w:r>
        <w:t xml:space="preserve">“</w:t>
      </w:r>
      <w:r>
        <w:t xml:space="preserve">Direct Logistics: The 2026 Surge</w:t>
      </w:r>
      <w:r>
        <w:t xml:space="preserve">”</w:t>
      </w:r>
      <w:r>
        <w:t xml:space="preserve"> </w:t>
      </w:r>
      <w:r>
        <w:t xml:space="preserve">— Postal-Aware LTL strategy for a mid-term election year, marketing spikes, SCF vs. DDU drop-ship decisions, and their expansion into FAK and parcel.</w:t>
      </w:r>
    </w:p>
    <w:p>
      <w:pPr>
        <w:pStyle w:val="BodyText"/>
      </w:pPr>
      <w:r>
        <w:rPr>
          <w:bCs/>
          <w:b/>
        </w:rPr>
        <w:t xml:space="preserve">Joint value prop.</w:t>
      </w:r>
      <w:r>
        <w:t xml:space="preserve"> </w:t>
      </w:r>
      <w:r>
        <w:t xml:space="preserve">Presort tells you where mail should enter; Direct Logistics gets it there, on time, as freight — with live tracking and human support, integrated into the BCC tools attendees already use.</w:t>
      </w:r>
    </w:p>
    <w:p>
      <w:pPr>
        <w:pStyle w:val="BodyText"/>
      </w:pPr>
      <w:r>
        <w:rPr>
          <w:bCs/>
          <w:b/>
        </w:rPr>
        <w:t xml:space="preserve">Proof points to cite.</w:t>
      </w:r>
      <w:r>
        <w:t xml:space="preserve"> </w:t>
      </w:r>
      <w:r>
        <w:t xml:space="preserve">98.6% on-time; 25+ years of drop-ship experience; live carrier-PRO tracking coast-to-coast; integration in Mail Manager and DAT-MAIL.</w:t>
      </w:r>
    </w:p>
    <w:p>
      <w:pPr>
        <w:pStyle w:val="BodyText"/>
      </w:pPr>
      <w:r>
        <w:rPr>
          <w:bCs/>
          <w:b/>
        </w:rPr>
        <w:t xml:space="preserve">Timely hook.</w:t>
      </w:r>
      <w:r>
        <w:t xml:space="preserve"> </w:t>
      </w:r>
      <w:r>
        <w:t xml:space="preserve">2026 is a mid-term election year — capacity squeeze incoming. Drop-ship strategy is a now problem, not a someday problem.</w:t>
      </w:r>
    </w:p>
    <w:p>
      <w:r>
        <w:pict>
          <v:rect style="width:0;height:1.5pt" o:hralign="center" o:hrstd="t" o:hr="t"/>
        </w:pict>
      </w:r>
    </w:p>
    <w:bookmarkEnd w:id="23"/>
    <w:bookmarkStart w:id="24" w:name="xmpie"/>
    <w:p>
      <w:pPr>
        <w:pStyle w:val="Heading2"/>
      </w:pPr>
      <w:r>
        <w:t xml:space="preserve">XMPie</w:t>
      </w:r>
    </w:p>
    <w:p>
      <w:pPr>
        <w:pStyle w:val="FirstParagraph"/>
      </w:pPr>
      <w:r>
        <w:rPr>
          <w:bCs/>
          <w:b/>
        </w:rPr>
        <w:t xml:space="preserve">Who they are.</w:t>
      </w:r>
      <w:r>
        <w:t xml:space="preserve"> </w:t>
      </w:r>
      <w:r>
        <w:t xml:space="preserve">A personalized composition and cross-media execution platform — variable data printing, dynamic content, segmentation, QR codes, PURLs, and personalized landing pages that orchestrate print + email + digital.</w:t>
      </w:r>
    </w:p>
    <w:p>
      <w:pPr>
        <w:pStyle w:val="BodyText"/>
      </w:pPr>
      <w:r>
        <w:rPr>
          <w:bCs/>
          <w:b/>
        </w:rPr>
        <w:t xml:space="preserve">Why we partnered.</w:t>
      </w:r>
      <w:r>
        <w:t xml:space="preserve"> </w:t>
      </w:r>
      <w:r>
        <w:t xml:space="preserve">XMPie is the</w:t>
      </w:r>
      <w:r>
        <w:t xml:space="preserve"> </w:t>
      </w:r>
      <w:r>
        <w:t xml:space="preserve">“</w:t>
      </w:r>
      <w:r>
        <w:t xml:space="preserve">relevance and impact</w:t>
      </w:r>
      <w:r>
        <w:t xml:space="preserve">”</w:t>
      </w:r>
      <w:r>
        <w:t xml:space="preserve"> </w:t>
      </w:r>
      <w:r>
        <w:t xml:space="preserve">half of the equation; BCC is the</w:t>
      </w:r>
      <w:r>
        <w:t xml:space="preserve"> </w:t>
      </w:r>
      <w:r>
        <w:t xml:space="preserve">“</w:t>
      </w:r>
      <w:r>
        <w:t xml:space="preserve">accuracy and reach</w:t>
      </w:r>
      <w:r>
        <w:t xml:space="preserve">”</w:t>
      </w:r>
      <w:r>
        <w:t xml:space="preserve"> </w:t>
      </w:r>
      <w:r>
        <w:t xml:space="preserve">half. The shared thesis from their joint</w:t>
      </w:r>
      <w:r>
        <w:t xml:space="preserve"> </w:t>
      </w:r>
      <w:r>
        <w:t xml:space="preserve">“</w:t>
      </w:r>
      <w:r>
        <w:t xml:space="preserve">Beyond the Design</w:t>
      </w:r>
      <w:r>
        <w:t xml:space="preserve">”</w:t>
      </w:r>
      <w:r>
        <w:t xml:space="preserve"> </w:t>
      </w:r>
      <w:r>
        <w:t xml:space="preserve">work: a winning direct-mail piece is roughly 50% data and 50% design. Foundation data gets you to the mailbox; personalization holds the audience; relevance drives the ROI. BCC ensures the piece reaches the right person; XMPie makes it feel one-to-one at scale.</w:t>
      </w:r>
    </w:p>
    <w:p>
      <w:pPr>
        <w:pStyle w:val="BodyText"/>
      </w:pPr>
      <w:r>
        <w:rPr>
          <w:bCs/>
          <w:b/>
        </w:rPr>
        <w:t xml:space="preserve">What attendees see.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</w:rPr>
        <w:t xml:space="preserve">Virtual:</w:t>
      </w:r>
      <w:r>
        <w:t xml:space="preserve"> </w:t>
      </w:r>
      <w:r>
        <w:t xml:space="preserve">“</w:t>
      </w:r>
      <w:r>
        <w:t xml:space="preserve">Where Data Meets Design</w:t>
      </w:r>
      <w:r>
        <w:t xml:space="preserve">”</w:t>
      </w:r>
      <w:r>
        <w:t xml:space="preserve"> </w:t>
      </w:r>
      <w:r>
        <w:t xml:space="preserve">— a live XMPie workflow demo walking a personalized direct mail campaign from concept to print-ready output in real time.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</w:rPr>
        <w:t xml:space="preserve">Both:</w:t>
      </w:r>
      <w:r>
        <w:t xml:space="preserve"> </w:t>
      </w:r>
      <w:r>
        <w:t xml:space="preserve">the data-plus-personalization narrative — clean, validated, enriched data feeding dynamic, individualized creative.</w:t>
      </w:r>
    </w:p>
    <w:p>
      <w:pPr>
        <w:pStyle w:val="BodyText"/>
      </w:pPr>
      <w:r>
        <w:rPr>
          <w:bCs/>
          <w:b/>
        </w:rPr>
        <w:t xml:space="preserve">Joint value prop.</w:t>
      </w:r>
      <w:r>
        <w:t xml:space="preserve"> </w:t>
      </w:r>
      <w:r>
        <w:t xml:space="preserve">Modern direct mail isn’t about sending more — it’s about sending smarter. BCC clean/validate/enrich + XMPie dynamic personalization = precision over volume, multiple impressions across channels, and campaigns you can actually measure.</w:t>
      </w:r>
    </w:p>
    <w:p>
      <w:pPr>
        <w:pStyle w:val="BodyText"/>
      </w:pPr>
      <w:r>
        <w:rPr>
          <w:bCs/>
          <w:b/>
        </w:rPr>
        <w:t xml:space="preserve">Proof points to cite.</w:t>
      </w:r>
      <w:r>
        <w:t xml:space="preserve"> </w:t>
      </w:r>
      <w:r>
        <w:t xml:space="preserve">List quality drives 40–60% of campaign success; bad data wastes budget with zero ROI (undeliverable mail costs the industry billions annually); personalization and creative make up the remaining performance levers.</w:t>
      </w:r>
    </w:p>
    <w:p>
      <w:r>
        <w:pict>
          <v:rect style="width:0;height:1.5pt" o:hralign="center" o:hrstd="t" o:hr="t"/>
        </w:pict>
      </w:r>
    </w:p>
    <w:bookmarkEnd w:id="24"/>
    <w:bookmarkStart w:id="25" w:name="quadient"/>
    <w:p>
      <w:pPr>
        <w:pStyle w:val="Heading2"/>
      </w:pPr>
      <w:r>
        <w:t xml:space="preserve">Quadient</w:t>
      </w:r>
    </w:p>
    <w:p>
      <w:pPr>
        <w:pStyle w:val="FirstParagraph"/>
      </w:pPr>
      <w:r>
        <w:rPr>
          <w:bCs/>
          <w:b/>
        </w:rPr>
        <w:t xml:space="preserve">Who they are.</w:t>
      </w:r>
      <w:r>
        <w:t xml:space="preserve"> </w:t>
      </w:r>
      <w:r>
        <w:t xml:space="preserve">A customer communications management and mailing-solutions provider operating across the same mailstream BCC serves — mail production, CCM, and related workflow.</w:t>
      </w:r>
    </w:p>
    <w:p>
      <w:pPr>
        <w:pStyle w:val="BodyText"/>
      </w:pPr>
      <w:r>
        <w:rPr>
          <w:bCs/>
          <w:b/>
        </w:rPr>
        <w:t xml:space="preserve">Why we partnered.</w:t>
      </w:r>
      <w:r>
        <w:t xml:space="preserve"> </w:t>
      </w:r>
      <w:r>
        <w:t xml:space="preserve">Quadient broadens the ecosystem view at the panel and platform-mapping sessions, giving attendees a fuller picture of how communications management and mailing software interoperate with BCC’s data and postal-intelligence layer.</w:t>
      </w:r>
    </w:p>
    <w:p>
      <w:pPr>
        <w:pStyle w:val="BodyText"/>
      </w:pPr>
      <w:r>
        <w:rPr>
          <w:bCs/>
          <w:b/>
        </w:rPr>
        <w:t xml:space="preserve">What attendees see.</w:t>
      </w:r>
      <w:r>
        <w:t xml:space="preserve"> </w:t>
      </w:r>
      <w:r>
        <w:t xml:space="preserve">The interactive strategic partner Q&amp;A panel (virtual) and the</w:t>
      </w:r>
      <w:r>
        <w:t xml:space="preserve"> </w:t>
      </w:r>
      <w:r>
        <w:t xml:space="preserve">“</w:t>
      </w:r>
      <w:r>
        <w:t xml:space="preserve">Partners &amp; Platforms</w:t>
      </w:r>
      <w:r>
        <w:t xml:space="preserve">”</w:t>
      </w:r>
      <w:r>
        <w:t xml:space="preserve"> </w:t>
      </w:r>
      <w:r>
        <w:t xml:space="preserve">ecosystem mapping session (live), where moderators guide conversations on integrations, workflows, and value props to reduce redundancy and accelerate outcomes.</w:t>
      </w:r>
    </w:p>
    <w:p>
      <w:pPr>
        <w:pStyle w:val="BodyText"/>
      </w:pPr>
      <w:r>
        <w:rPr>
          <w:bCs/>
          <w:b/>
        </w:rPr>
        <w:t xml:space="preserve">Joint value prop.</w:t>
      </w:r>
      <w:r>
        <w:t xml:space="preserve"> </w:t>
      </w:r>
      <w:r>
        <w:t xml:space="preserve">More of the communications and mailing stack represented in one room means attendees can map their</w:t>
      </w:r>
      <w:r>
        <w:t xml:space="preserve"> </w:t>
      </w:r>
      <w:r>
        <w:rPr>
          <w:iCs/>
          <w:i/>
        </w:rPr>
        <w:t xml:space="preserve">actual</w:t>
      </w:r>
      <w:r>
        <w:t xml:space="preserve"> </w:t>
      </w:r>
      <w:r>
        <w:t xml:space="preserve">environment — not an idealized one — and find the integration points that matter.</w:t>
      </w:r>
    </w:p>
    <w:p>
      <w:r>
        <w:pict>
          <v:rect style="width:0;height:1.5pt" o:hralign="center" o:hrstd="t" o:hr="t"/>
        </w:pict>
      </w:r>
    </w:p>
    <w:bookmarkEnd w:id="25"/>
    <w:bookmarkStart w:id="26" w:name="sylvamo-potential-partner"/>
    <w:p>
      <w:pPr>
        <w:pStyle w:val="Heading2"/>
      </w:pPr>
      <w:r>
        <w:t xml:space="preserve">Sylvamo</w:t>
      </w:r>
      <w:r>
        <w:t xml:space="preserve"> </w:t>
      </w:r>
      <w:r>
        <w:rPr>
          <w:iCs/>
          <w:i/>
        </w:rPr>
        <w:t xml:space="preserve">(potential partner)</w:t>
      </w:r>
    </w:p>
    <w:p>
      <w:pPr>
        <w:pStyle w:val="FirstParagraph"/>
      </w:pPr>
      <w:r>
        <w:rPr>
          <w:bCs/>
          <w:b/>
        </w:rPr>
        <w:t xml:space="preserve">Who they are.</w:t>
      </w:r>
      <w:r>
        <w:t xml:space="preserve"> </w:t>
      </w:r>
      <w:r>
        <w:t xml:space="preserve">A leading uncoated freesheet paper producer — the substrate layer of the direct mail supply chain.</w:t>
      </w:r>
    </w:p>
    <w:p>
      <w:pPr>
        <w:pStyle w:val="BodyText"/>
      </w:pPr>
      <w:r>
        <w:rPr>
          <w:bCs/>
          <w:b/>
        </w:rPr>
        <w:t xml:space="preserve">Why they’d be here.</w:t>
      </w:r>
      <w:r>
        <w:t xml:space="preserve"> </w:t>
      </w:r>
      <w:r>
        <w:t xml:space="preserve">Paper is where every mailpiece begins and where supply, cost, and sustainability pressures are felt first. Including a paper producer completes the end-to-end story: substrate → composition → data → presort → logistics → tracking → measurement.</w:t>
      </w:r>
    </w:p>
    <w:p>
      <w:pPr>
        <w:pStyle w:val="BodyText"/>
      </w:pPr>
      <w:r>
        <w:rPr>
          <w:bCs/>
          <w:b/>
        </w:rPr>
        <w:t xml:space="preserve">What attendees would see.</w:t>
      </w:r>
      <w:r>
        <w:t xml:space="preserve"> </w:t>
      </w:r>
      <w:r>
        <w:t xml:space="preserve">Participation in the live</w:t>
      </w:r>
      <w:r>
        <w:t xml:space="preserve"> </w:t>
      </w:r>
      <w:r>
        <w:t xml:space="preserve">“</w:t>
      </w:r>
      <w:r>
        <w:t xml:space="preserve">Partners &amp; Platforms: Ecosystem Engineering for Growth</w:t>
      </w:r>
      <w:r>
        <w:t xml:space="preserve">”</w:t>
      </w:r>
      <w:r>
        <w:t xml:space="preserve"> </w:t>
      </w:r>
      <w:r>
        <w:t xml:space="preserve">mapping session alongside Solimar, Direct Logistics, BlueCrest, and Quadient.</w:t>
      </w:r>
    </w:p>
    <w:p>
      <w:pPr>
        <w:pStyle w:val="BodyText"/>
      </w:pPr>
      <w:r>
        <w:rPr>
          <w:bCs/>
          <w:b/>
        </w:rPr>
        <w:t xml:space="preserve">Joint value prop.</w:t>
      </w:r>
      <w:r>
        <w:t xml:space="preserve"> </w:t>
      </w:r>
      <w:r>
        <w:t xml:space="preserve">A full-chain view of direct mail — from the sheet to the scan — so attendees can reason about cost and performance across the</w:t>
      </w:r>
      <w:r>
        <w:t xml:space="preserve"> </w:t>
      </w:r>
      <w:r>
        <w:rPr>
          <w:iCs/>
          <w:i/>
        </w:rPr>
        <w:t xml:space="preserve">entire</w:t>
      </w:r>
      <w:r>
        <w:t xml:space="preserve"> </w:t>
      </w:r>
      <w:r>
        <w:t xml:space="preserve">lifecycle, not just the software portion.</w:t>
      </w:r>
      <w:r>
        <w:t xml:space="preserve"> </w:t>
      </w:r>
      <w:r>
        <w:rPr>
          <w:iCs/>
          <w:i/>
        </w:rPr>
        <w:t xml:space="preserve">(Note: participation is to be confirmed; speak to it as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potential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until finalized.)</w:t>
      </w:r>
    </w:p>
    <w:p>
      <w:r>
        <w:pict>
          <v:rect style="width:0;height:1.5pt" o:hralign="center" o:hrstd="t" o:hr="t"/>
        </w:pict>
      </w:r>
    </w:p>
    <w:bookmarkEnd w:id="26"/>
    <w:bookmarkStart w:id="27" w:name="X3365cfd0bb73f7b27dd6114a98f8e1e67adbd06"/>
    <w:p>
      <w:pPr>
        <w:pStyle w:val="Heading2"/>
      </w:pPr>
      <w:r>
        <w:t xml:space="preserve">The integrated demo attendees actually experience</w:t>
      </w:r>
    </w:p>
    <w:p>
      <w:pPr>
        <w:pStyle w:val="FirstParagraph"/>
      </w:pPr>
      <w:r>
        <w:t xml:space="preserve">Rather than five standalone pitches, IE26 is sequenced so the workflow tells itself: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&amp; address quality (BCC)</w:t>
      </w:r>
      <w:r>
        <w:t xml:space="preserve"> </w:t>
      </w:r>
      <w:r>
        <w:t xml:space="preserve">— the foundation; 40–60% of campaign success starts here.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Personalized composition (XMPie)</w:t>
      </w:r>
      <w:r>
        <w:t xml:space="preserve"> </w:t>
      </w:r>
      <w:r>
        <w:t xml:space="preserve">— turn clean data into relevant, individualized creative.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Post-composition control &amp; automation (Solimar)</w:t>
      </w:r>
      <w:r>
        <w:t xml:space="preserve"> </w:t>
      </w:r>
      <w:r>
        <w:t xml:space="preserve">— optimize, automate, and compress turnaround.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Presort &amp; postal intelligence (BCC)</w:t>
      </w:r>
      <w:r>
        <w:t xml:space="preserve"> </w:t>
      </w:r>
      <w:r>
        <w:t xml:space="preserve">— qualify for the deepest workshare discounts.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Drop-ship logistics (Direct Logistics)</w:t>
      </w:r>
      <w:r>
        <w:t xml:space="preserve"> </w:t>
      </w:r>
      <w:r>
        <w:t xml:space="preserve">— move mail-as-freight, on time, into the USPS network.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Tracking &amp; attribution (BCC Track N Trace + Informed Visibility)</w:t>
      </w:r>
      <w:r>
        <w:t xml:space="preserve"> </w:t>
      </w:r>
      <w:r>
        <w:t xml:space="preserve">— prove ROI and trigger digital follow-up.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Production &amp; sortation (BlueCrest)</w:t>
      </w:r>
      <w:r>
        <w:t xml:space="preserve"> </w:t>
      </w:r>
      <w:r>
        <w:t xml:space="preserve">+</w:t>
      </w:r>
      <w:r>
        <w:t xml:space="preserve"> </w:t>
      </w:r>
      <w:r>
        <w:rPr>
          <w:bCs/>
          <w:b/>
        </w:rPr>
        <w:t xml:space="preserve">substrate (Sylvamo)</w:t>
      </w:r>
      <w:r>
        <w:t xml:space="preserve"> </w:t>
      </w:r>
      <w:r>
        <w:t xml:space="preserve">— the physical backbone, integrated end to end.</w:t>
      </w:r>
    </w:p>
    <w:p>
      <w:pPr>
        <w:pStyle w:val="FirstParagraph"/>
      </w:pPr>
      <w:r>
        <w:rPr>
          <w:bCs/>
          <w:b/>
        </w:rPr>
        <w:t xml:space="preserve">The takeaway line for attendees: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You don’t have to choose between best-of-breed tools and an integrated workflow. The room you’re standing in is the integration.</w:t>
      </w:r>
      <w:r>
        <w:rPr>
          <w:iCs/>
          <w:i/>
        </w:rPr>
        <w:t xml:space="preserve">”</w:t>
      </w:r>
    </w:p>
    <w:p>
      <w:r>
        <w:pict>
          <v:rect style="width:0;height:1.5pt" o:hralign="center" o:hrstd="t" o:hr="t"/>
        </w:pict>
      </w:r>
    </w:p>
    <w:bookmarkEnd w:id="27"/>
    <w:bookmarkStart w:id="28" w:name="quick-reference-one-sentence-per-partner"/>
    <w:p>
      <w:pPr>
        <w:pStyle w:val="Heading2"/>
      </w:pPr>
      <w:r>
        <w:t xml:space="preserve">Quick-reference: one sentence per partner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BlueCrest</w:t>
      </w:r>
      <w:r>
        <w:t xml:space="preserve"> </w:t>
      </w:r>
      <w:r>
        <w:t xml:space="preserve">— our parent company; connects production and sortation to BCC’s data and postal-intelligence software.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Solimar Systems</w:t>
      </w:r>
      <w:r>
        <w:t xml:space="preserve"> </w:t>
      </w:r>
      <w:r>
        <w:t xml:space="preserve">— post-composition control and automation that compresses turnaround and eliminates manual touches (Chemistry platform).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Direct Logistics</w:t>
      </w:r>
      <w:r>
        <w:t xml:space="preserve"> </w:t>
      </w:r>
      <w:r>
        <w:t xml:space="preserve">— mail-as-freight and Postal-Aware LTL drop-ship, integrated into Mail Manager and DAT-MAIL, 98.6% on-time.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XMPie</w:t>
      </w:r>
      <w:r>
        <w:t xml:space="preserve"> </w:t>
      </w:r>
      <w:r>
        <w:t xml:space="preserve">— personalized, cross-media composition that makes clean data feel one-to-one at scale.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Quadient</w:t>
      </w:r>
      <w:r>
        <w:t xml:space="preserve"> </w:t>
      </w:r>
      <w:r>
        <w:t xml:space="preserve">— broadens the communications-management and mailing-software view of the ecosystem.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Sylvamo (potential)</w:t>
      </w:r>
      <w:r>
        <w:t xml:space="preserve"> </w:t>
      </w:r>
      <w:r>
        <w:t xml:space="preserve">— the paper/substrate layer that completes the end-to-end direct mail story.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2026-06-01T13:29:50Z</dcterms:created>
  <dcterms:modified xsi:type="dcterms:W3CDTF">2026-06-01T13:29:50Z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